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5BE5" w:rsidRPr="00E11D09" w:rsidRDefault="005B5BE5" w:rsidP="005B5BE5">
      <w:pPr>
        <w:jc w:val="both"/>
        <w:rPr>
          <w:rFonts w:ascii="Arial" w:hAnsi="Arial" w:cs="Arial"/>
          <w:sz w:val="20"/>
          <w:szCs w:val="20"/>
        </w:rPr>
      </w:pPr>
      <w:r w:rsidRPr="00E11D09">
        <w:rPr>
          <w:rFonts w:ascii="Arial" w:hAnsi="Arial" w:cs="Arial"/>
          <w:sz w:val="20"/>
          <w:szCs w:val="20"/>
        </w:rPr>
        <w:t>Załącznik  2b do SWZ</w:t>
      </w:r>
      <w:r w:rsidR="009E0110" w:rsidRPr="00E11D09">
        <w:rPr>
          <w:rFonts w:ascii="Arial" w:hAnsi="Arial" w:cs="Arial"/>
          <w:sz w:val="20"/>
          <w:szCs w:val="20"/>
        </w:rPr>
        <w:t xml:space="preserve"> / Załącznik nr 3</w:t>
      </w:r>
      <w:r w:rsidR="00603674" w:rsidRPr="00E11D09">
        <w:rPr>
          <w:rFonts w:ascii="Arial" w:hAnsi="Arial" w:cs="Arial"/>
          <w:sz w:val="20"/>
          <w:szCs w:val="20"/>
        </w:rPr>
        <w:t xml:space="preserve"> do umowy dostawy / Załącznik nr 1 do umowy dzierżawy</w:t>
      </w:r>
    </w:p>
    <w:p w:rsidR="007207D1" w:rsidRPr="00E11D09" w:rsidRDefault="007207D1" w:rsidP="009E17FA">
      <w:pPr>
        <w:jc w:val="center"/>
        <w:rPr>
          <w:rFonts w:ascii="Arial" w:hAnsi="Arial" w:cs="Arial"/>
          <w:b/>
          <w:sz w:val="20"/>
          <w:szCs w:val="20"/>
        </w:rPr>
      </w:pPr>
    </w:p>
    <w:p w:rsidR="005B5BE5" w:rsidRPr="00E11D09" w:rsidRDefault="005B5BE5" w:rsidP="005B5BE5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E11D09">
        <w:rPr>
          <w:rFonts w:ascii="Arial" w:hAnsi="Arial" w:cs="Arial"/>
          <w:b/>
          <w:bCs/>
          <w:sz w:val="20"/>
          <w:szCs w:val="20"/>
        </w:rPr>
        <w:t>Zestawienie wymaganych parametrów jakościowo-technicznych</w:t>
      </w:r>
      <w:r w:rsidR="003233C2" w:rsidRPr="00E11D09">
        <w:rPr>
          <w:rFonts w:ascii="Arial" w:hAnsi="Arial" w:cs="Arial"/>
          <w:b/>
          <w:bCs/>
          <w:sz w:val="20"/>
          <w:szCs w:val="20"/>
        </w:rPr>
        <w:t xml:space="preserve"> (OPZ)</w:t>
      </w:r>
    </w:p>
    <w:p w:rsidR="00E11D09" w:rsidRPr="00E11D09" w:rsidRDefault="00E11D09" w:rsidP="00E11D09">
      <w:pPr>
        <w:jc w:val="center"/>
        <w:rPr>
          <w:rFonts w:ascii="Arial" w:hAnsi="Arial" w:cs="Arial"/>
          <w:b/>
          <w:sz w:val="20"/>
          <w:szCs w:val="20"/>
        </w:rPr>
      </w:pPr>
      <w:r w:rsidRPr="00E11D09">
        <w:rPr>
          <w:rFonts w:ascii="Arial" w:hAnsi="Arial" w:cs="Arial"/>
          <w:b/>
          <w:sz w:val="20"/>
          <w:szCs w:val="20"/>
        </w:rPr>
        <w:t>ZESTAWIENIE WYMAGANYCH PARAMETRÓW JAKOŚCIOWO-TECHNICZNYCH</w:t>
      </w:r>
    </w:p>
    <w:p w:rsidR="00E11D09" w:rsidRPr="00E11D09" w:rsidRDefault="00E11D09" w:rsidP="00E11D09">
      <w:pPr>
        <w:spacing w:after="120"/>
        <w:rPr>
          <w:rFonts w:ascii="Arial" w:hAnsi="Arial" w:cs="Arial"/>
          <w:b/>
          <w:sz w:val="20"/>
          <w:szCs w:val="20"/>
          <w:u w:val="single"/>
        </w:rPr>
      </w:pPr>
      <w:r w:rsidRPr="00E11D09">
        <w:rPr>
          <w:rFonts w:ascii="Arial" w:hAnsi="Arial" w:cs="Arial"/>
          <w:b/>
          <w:sz w:val="20"/>
          <w:szCs w:val="20"/>
          <w:u w:val="single"/>
        </w:rPr>
        <w:t>Analizator hematologiczny CBC+DIFF+RET – podstawowy- 1 szt</w:t>
      </w:r>
    </w:p>
    <w:p w:rsidR="00E11D09" w:rsidRPr="00E11D09" w:rsidRDefault="00E11D09" w:rsidP="00E11D09">
      <w:pPr>
        <w:spacing w:after="120"/>
        <w:rPr>
          <w:rFonts w:ascii="Arial" w:hAnsi="Arial" w:cs="Arial"/>
          <w:b/>
          <w:sz w:val="20"/>
          <w:szCs w:val="20"/>
        </w:rPr>
      </w:pPr>
      <w:r w:rsidRPr="00E11D09">
        <w:rPr>
          <w:rFonts w:ascii="Arial" w:hAnsi="Arial" w:cs="Arial"/>
          <w:b/>
          <w:sz w:val="20"/>
          <w:szCs w:val="20"/>
        </w:rPr>
        <w:t>Nazwa własna …………………………………</w:t>
      </w:r>
      <w:r>
        <w:rPr>
          <w:rFonts w:ascii="Arial" w:hAnsi="Arial" w:cs="Arial"/>
          <w:b/>
          <w:sz w:val="20"/>
          <w:szCs w:val="20"/>
        </w:rPr>
        <w:t>……………………………………………………………………………….</w:t>
      </w:r>
      <w:bookmarkStart w:id="0" w:name="_GoBack"/>
      <w:bookmarkEnd w:id="0"/>
    </w:p>
    <w:p w:rsidR="00E11D09" w:rsidRPr="00E11D09" w:rsidRDefault="00E11D09" w:rsidP="00E11D09">
      <w:pPr>
        <w:spacing w:after="120"/>
        <w:rPr>
          <w:rFonts w:ascii="Arial" w:hAnsi="Arial" w:cs="Arial"/>
          <w:b/>
          <w:sz w:val="20"/>
          <w:szCs w:val="20"/>
        </w:rPr>
      </w:pPr>
      <w:r w:rsidRPr="00E11D09">
        <w:rPr>
          <w:rFonts w:ascii="Arial" w:hAnsi="Arial" w:cs="Arial"/>
          <w:b/>
          <w:sz w:val="20"/>
          <w:szCs w:val="20"/>
        </w:rPr>
        <w:t>Oferowany model/typ ………………………………</w:t>
      </w:r>
      <w:r>
        <w:rPr>
          <w:rFonts w:ascii="Arial" w:hAnsi="Arial" w:cs="Arial"/>
          <w:b/>
          <w:sz w:val="20"/>
          <w:szCs w:val="20"/>
        </w:rPr>
        <w:t>………………………………………………………………………………….</w:t>
      </w:r>
    </w:p>
    <w:p w:rsidR="00E11D09" w:rsidRPr="00E11D09" w:rsidRDefault="00E11D09" w:rsidP="00E11D09">
      <w:pPr>
        <w:spacing w:after="120"/>
        <w:rPr>
          <w:rFonts w:ascii="Arial" w:hAnsi="Arial" w:cs="Arial"/>
          <w:b/>
          <w:sz w:val="20"/>
          <w:szCs w:val="20"/>
        </w:rPr>
      </w:pPr>
      <w:r w:rsidRPr="00E11D09">
        <w:rPr>
          <w:rFonts w:ascii="Arial" w:hAnsi="Arial" w:cs="Arial"/>
          <w:b/>
          <w:sz w:val="20"/>
          <w:szCs w:val="20"/>
        </w:rPr>
        <w:t>Producent …………………………………</w:t>
      </w:r>
      <w:r>
        <w:rPr>
          <w:rFonts w:ascii="Arial" w:hAnsi="Arial" w:cs="Arial"/>
          <w:b/>
          <w:sz w:val="20"/>
          <w:szCs w:val="20"/>
        </w:rPr>
        <w:t>………………………………………………………………………………..</w:t>
      </w:r>
    </w:p>
    <w:p w:rsidR="00E11D09" w:rsidRDefault="00E11D09" w:rsidP="00E11D09">
      <w:pPr>
        <w:spacing w:after="120"/>
        <w:rPr>
          <w:rFonts w:ascii="Arial" w:hAnsi="Arial" w:cs="Arial"/>
          <w:b/>
          <w:sz w:val="20"/>
          <w:szCs w:val="20"/>
        </w:rPr>
      </w:pPr>
      <w:r w:rsidRPr="00E11D09">
        <w:rPr>
          <w:rFonts w:ascii="Arial" w:hAnsi="Arial" w:cs="Arial"/>
          <w:b/>
          <w:sz w:val="20"/>
          <w:szCs w:val="20"/>
        </w:rPr>
        <w:t>Rok produkcji  ……………………………………………………………………………………………….</w:t>
      </w:r>
    </w:p>
    <w:p w:rsidR="00E11D09" w:rsidRPr="00E11D09" w:rsidRDefault="00E11D09" w:rsidP="00E11D09">
      <w:pPr>
        <w:spacing w:after="120"/>
        <w:rPr>
          <w:rFonts w:ascii="Arial" w:hAnsi="Arial" w:cs="Arial"/>
          <w:b/>
          <w:sz w:val="20"/>
          <w:szCs w:val="20"/>
        </w:rPr>
      </w:pPr>
    </w:p>
    <w:p w:rsidR="00E11D09" w:rsidRPr="00E11D09" w:rsidRDefault="00E11D09" w:rsidP="00E11D09">
      <w:pPr>
        <w:spacing w:after="120"/>
        <w:rPr>
          <w:rFonts w:ascii="Arial" w:hAnsi="Arial" w:cs="Arial"/>
          <w:b/>
          <w:sz w:val="20"/>
          <w:szCs w:val="20"/>
          <w:u w:val="single"/>
        </w:rPr>
      </w:pPr>
      <w:r w:rsidRPr="00E11D09">
        <w:rPr>
          <w:rFonts w:ascii="Arial" w:hAnsi="Arial" w:cs="Arial"/>
          <w:b/>
          <w:sz w:val="20"/>
          <w:szCs w:val="20"/>
          <w:u w:val="single"/>
        </w:rPr>
        <w:t>Analizator hematologiczny CBC+DIFF – uzupełniający- 1 szt</w:t>
      </w:r>
    </w:p>
    <w:p w:rsidR="00E11D09" w:rsidRPr="00E11D09" w:rsidRDefault="00E11D09" w:rsidP="00E11D09">
      <w:pPr>
        <w:spacing w:after="120"/>
        <w:rPr>
          <w:rFonts w:ascii="Arial" w:hAnsi="Arial" w:cs="Arial"/>
          <w:b/>
          <w:sz w:val="20"/>
          <w:szCs w:val="20"/>
        </w:rPr>
      </w:pPr>
      <w:r w:rsidRPr="00E11D09">
        <w:rPr>
          <w:rFonts w:ascii="Arial" w:hAnsi="Arial" w:cs="Arial"/>
          <w:b/>
          <w:sz w:val="20"/>
          <w:szCs w:val="20"/>
        </w:rPr>
        <w:t>Nazwa własna …………………………………</w:t>
      </w:r>
      <w:r>
        <w:rPr>
          <w:rFonts w:ascii="Arial" w:hAnsi="Arial" w:cs="Arial"/>
          <w:b/>
          <w:sz w:val="20"/>
          <w:szCs w:val="20"/>
        </w:rPr>
        <w:t>………………………………………………………………………………</w:t>
      </w:r>
    </w:p>
    <w:p w:rsidR="00E11D09" w:rsidRPr="00E11D09" w:rsidRDefault="00E11D09" w:rsidP="00E11D09">
      <w:pPr>
        <w:spacing w:after="120"/>
        <w:rPr>
          <w:rFonts w:ascii="Arial" w:hAnsi="Arial" w:cs="Arial"/>
          <w:b/>
          <w:sz w:val="20"/>
          <w:szCs w:val="20"/>
        </w:rPr>
      </w:pPr>
      <w:r w:rsidRPr="00E11D09">
        <w:rPr>
          <w:rFonts w:ascii="Arial" w:hAnsi="Arial" w:cs="Arial"/>
          <w:b/>
          <w:sz w:val="20"/>
          <w:szCs w:val="20"/>
        </w:rPr>
        <w:t>Oferowany model/typ ………………………………</w:t>
      </w:r>
      <w:r>
        <w:rPr>
          <w:rFonts w:ascii="Arial" w:hAnsi="Arial" w:cs="Arial"/>
          <w:b/>
          <w:sz w:val="20"/>
          <w:szCs w:val="20"/>
        </w:rPr>
        <w:t>…………………………………………………………………………………</w:t>
      </w:r>
    </w:p>
    <w:p w:rsidR="00E11D09" w:rsidRPr="00E11D09" w:rsidRDefault="00E11D09" w:rsidP="00E11D09">
      <w:pPr>
        <w:spacing w:after="120"/>
        <w:rPr>
          <w:rFonts w:ascii="Arial" w:hAnsi="Arial" w:cs="Arial"/>
          <w:b/>
          <w:sz w:val="20"/>
          <w:szCs w:val="20"/>
        </w:rPr>
      </w:pPr>
      <w:r w:rsidRPr="00E11D09">
        <w:rPr>
          <w:rFonts w:ascii="Arial" w:hAnsi="Arial" w:cs="Arial"/>
          <w:b/>
          <w:sz w:val="20"/>
          <w:szCs w:val="20"/>
        </w:rPr>
        <w:t>Producent …………………………………</w:t>
      </w:r>
      <w:r>
        <w:rPr>
          <w:rFonts w:ascii="Arial" w:hAnsi="Arial" w:cs="Arial"/>
          <w:b/>
          <w:sz w:val="20"/>
          <w:szCs w:val="20"/>
        </w:rPr>
        <w:t>………………………………………………………………………………</w:t>
      </w:r>
    </w:p>
    <w:p w:rsidR="00E11D09" w:rsidRPr="00E11D09" w:rsidRDefault="00E11D09" w:rsidP="00E11D09">
      <w:pPr>
        <w:spacing w:after="120"/>
        <w:rPr>
          <w:rFonts w:ascii="Arial" w:hAnsi="Arial" w:cs="Arial"/>
          <w:b/>
          <w:sz w:val="20"/>
          <w:szCs w:val="20"/>
        </w:rPr>
      </w:pPr>
      <w:r w:rsidRPr="00E11D09">
        <w:rPr>
          <w:rFonts w:ascii="Arial" w:hAnsi="Arial" w:cs="Arial"/>
          <w:b/>
          <w:sz w:val="20"/>
          <w:szCs w:val="20"/>
        </w:rPr>
        <w:t>Rok produkcji  ……………</w:t>
      </w:r>
      <w:r>
        <w:rPr>
          <w:rFonts w:ascii="Arial" w:hAnsi="Arial" w:cs="Arial"/>
          <w:b/>
          <w:sz w:val="20"/>
          <w:szCs w:val="20"/>
        </w:rPr>
        <w:t>…………………………………………………………………………………</w:t>
      </w:r>
    </w:p>
    <w:p w:rsidR="00E11D09" w:rsidRPr="00E11D09" w:rsidRDefault="00E11D09" w:rsidP="00E11D09">
      <w:pPr>
        <w:spacing w:after="120"/>
        <w:rPr>
          <w:rFonts w:ascii="Arial" w:hAnsi="Arial" w:cs="Arial"/>
          <w:b/>
          <w:sz w:val="20"/>
          <w:szCs w:val="20"/>
        </w:rPr>
      </w:pPr>
    </w:p>
    <w:p w:rsidR="00E11D09" w:rsidRPr="00E11D09" w:rsidRDefault="00E11D09" w:rsidP="00E11D09">
      <w:pPr>
        <w:spacing w:after="120"/>
        <w:rPr>
          <w:rFonts w:ascii="Arial" w:hAnsi="Arial" w:cs="Arial"/>
          <w:b/>
          <w:sz w:val="20"/>
          <w:szCs w:val="20"/>
        </w:rPr>
      </w:pPr>
      <w:r w:rsidRPr="00E11D09">
        <w:rPr>
          <w:rFonts w:ascii="Arial" w:hAnsi="Arial" w:cs="Arial"/>
          <w:b/>
          <w:sz w:val="20"/>
          <w:szCs w:val="20"/>
        </w:rPr>
        <w:t>Zestawienie parametrów  dla analizatorów hematologicznych podstawowy, uzupełniający</w:t>
      </w:r>
    </w:p>
    <w:tbl>
      <w:tblPr>
        <w:tblStyle w:val="Tabela-Siatka"/>
        <w:tblW w:w="10065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44"/>
        <w:gridCol w:w="5268"/>
        <w:gridCol w:w="1418"/>
        <w:gridCol w:w="2835"/>
      </w:tblGrid>
      <w:tr w:rsidR="00E11D09" w:rsidRPr="00E11D09" w:rsidTr="00051625">
        <w:trPr>
          <w:trHeight w:val="953"/>
        </w:trPr>
        <w:tc>
          <w:tcPr>
            <w:tcW w:w="544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</w:p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Lp.</w:t>
            </w:r>
          </w:p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68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Parametry wymagane, których nie spełnienie spowoduje odrzucenie oferty</w:t>
            </w:r>
          </w:p>
        </w:tc>
        <w:tc>
          <w:tcPr>
            <w:tcW w:w="1418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Warunek konieczny</w:t>
            </w:r>
          </w:p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(wymagany)</w:t>
            </w:r>
          </w:p>
        </w:tc>
        <w:tc>
          <w:tcPr>
            <w:tcW w:w="2835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Oświadczenie spełnienia parametru (tak/nie) oraz opis oferowanych parametrów</w:t>
            </w:r>
          </w:p>
        </w:tc>
      </w:tr>
      <w:tr w:rsidR="00E11D09" w:rsidRPr="00E11D09" w:rsidTr="00051625">
        <w:trPr>
          <w:trHeight w:val="500"/>
        </w:trPr>
        <w:tc>
          <w:tcPr>
            <w:tcW w:w="544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68" w:type="dxa"/>
          </w:tcPr>
          <w:p w:rsidR="00E11D09" w:rsidRPr="00E11D09" w:rsidRDefault="00E11D09" w:rsidP="0005162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11D09">
              <w:rPr>
                <w:rFonts w:ascii="Arial" w:hAnsi="Arial" w:cs="Arial"/>
                <w:b/>
                <w:sz w:val="20"/>
                <w:szCs w:val="20"/>
              </w:rPr>
              <w:t>Analizator hematologiczny CBC+DIFF+RET podstawowy warunki graniczne</w:t>
            </w:r>
          </w:p>
        </w:tc>
        <w:tc>
          <w:tcPr>
            <w:tcW w:w="1418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1D09" w:rsidRPr="00E11D09" w:rsidTr="00051625">
        <w:tc>
          <w:tcPr>
            <w:tcW w:w="544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5268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Analizator podstawowy: analizator fabrycznie nowy, nie starszy niż rok 2025, podać nazwę /typ i nazwę producenta ,wyklucza się egzemplarze demonstracyjne i testowe.</w:t>
            </w:r>
          </w:p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Wieloparametrowy analizator hematologiczny z możliwością automatycznego oznaczania morfologii, morfologii z rozmazem oraz retikulocytów, płytek krwi metodą optyczną, możliwość pracy z probówkami systemu zamkniętego , bez potrzeby ich otwierania, forma identyfikacji próbki - kod kreskowy. Analizator z wbudowanym monitorem dotykowym , z automatycznym podajnikiem na 120 próbek.</w:t>
            </w:r>
          </w:p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Wydajność 120 oznaczeń /godzinę</w:t>
            </w:r>
          </w:p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835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1D09" w:rsidRPr="00E11D09" w:rsidTr="00051625">
        <w:tc>
          <w:tcPr>
            <w:tcW w:w="544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5268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 xml:space="preserve">Analizator  58 parametrowy różnicujący leukocyty na 10 populacji:  neutrocyty, ezynocyty, bazocyty, monocyty, limfocyty, limfocyty atypowe, MIC%, MAC% oraz posiadający dodatkowy kanał pomiarowy przeznaczony </w:t>
            </w:r>
            <w:r w:rsidRPr="00E11D09">
              <w:rPr>
                <w:rFonts w:ascii="Arial" w:hAnsi="Arial" w:cs="Arial"/>
                <w:sz w:val="20"/>
                <w:szCs w:val="20"/>
              </w:rPr>
              <w:lastRenderedPageBreak/>
              <w:t>dla młodych form leukocytarnych z możliwością różnicowania na frakcję młodych granulocytów IMG%, IMG#, limfocytów IML%, IML# oraz monocytów IMM%,IMM#, duże niedojrzałe komórki LIC%,LIC#, pomiar PLCR, PLCC, oraz LPF (frakcja dużych młodych płytek) metodą optyczną. Pomiar ALY ( atypowe limfocyty) odróżniający od limfocytów odczynowych</w:t>
            </w:r>
          </w:p>
        </w:tc>
        <w:tc>
          <w:tcPr>
            <w:tcW w:w="1418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lastRenderedPageBreak/>
              <w:t>TAK</w:t>
            </w:r>
          </w:p>
        </w:tc>
        <w:tc>
          <w:tcPr>
            <w:tcW w:w="2835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1D09" w:rsidRPr="00E11D09" w:rsidTr="00051625">
        <w:tc>
          <w:tcPr>
            <w:tcW w:w="544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5268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 xml:space="preserve">Rozdział WBC w oparciu o metodę cytometrii przepływowej z wykorzystaniem pomiaru impedancji oraz pomiaru absorbancji światła polichromatycznego przechodzącego  - pomiar optyczny. Rozdział WBC na trzy subpopulacje IMG, IML, IMM ( młode formy granulocytarne, limfocytarne i monocytarne) </w:t>
            </w:r>
          </w:p>
        </w:tc>
        <w:tc>
          <w:tcPr>
            <w:tcW w:w="1418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835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1D09" w:rsidRPr="00E11D09" w:rsidTr="00051625">
        <w:tc>
          <w:tcPr>
            <w:tcW w:w="544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5268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System mieszania próbki – rotacyjny  o 360 stopni</w:t>
            </w:r>
          </w:p>
        </w:tc>
        <w:tc>
          <w:tcPr>
            <w:tcW w:w="1418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835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1D09" w:rsidRPr="00E11D09" w:rsidTr="00051625">
        <w:tc>
          <w:tcPr>
            <w:tcW w:w="544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5268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Zakres liniowości pomiaru:</w:t>
            </w:r>
          </w:p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RBC od 0 do 8,0 x10</w:t>
            </w:r>
            <w:r w:rsidRPr="00E11D09">
              <w:rPr>
                <w:rFonts w:ascii="Arial" w:hAnsi="Arial" w:cs="Arial"/>
                <w:sz w:val="20"/>
                <w:szCs w:val="20"/>
                <w:vertAlign w:val="superscript"/>
              </w:rPr>
              <w:t>6</w:t>
            </w:r>
            <w:r w:rsidRPr="00E11D09">
              <w:rPr>
                <w:rFonts w:ascii="Arial" w:hAnsi="Arial" w:cs="Arial"/>
                <w:sz w:val="20"/>
                <w:szCs w:val="20"/>
              </w:rPr>
              <w:t>/µL</w:t>
            </w:r>
          </w:p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HGB od 0 do 24 g/dl</w:t>
            </w:r>
          </w:p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WBC od 0 do 300 x10</w:t>
            </w:r>
            <w:r w:rsidRPr="00E11D09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  <w:r w:rsidRPr="00E11D09">
              <w:rPr>
                <w:rFonts w:ascii="Arial" w:hAnsi="Arial" w:cs="Arial"/>
                <w:sz w:val="20"/>
                <w:szCs w:val="20"/>
              </w:rPr>
              <w:t xml:space="preserve">/µl </w:t>
            </w:r>
          </w:p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PLT od 0 do 5000 x10</w:t>
            </w:r>
            <w:r w:rsidRPr="00E11D09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  <w:r w:rsidRPr="00E11D09">
              <w:rPr>
                <w:rFonts w:ascii="Arial" w:hAnsi="Arial" w:cs="Arial"/>
                <w:sz w:val="20"/>
                <w:szCs w:val="20"/>
              </w:rPr>
              <w:t xml:space="preserve">/µL </w:t>
            </w:r>
          </w:p>
        </w:tc>
        <w:tc>
          <w:tcPr>
            <w:tcW w:w="1418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835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1D09" w:rsidRPr="00E11D09" w:rsidTr="00051625">
        <w:tc>
          <w:tcPr>
            <w:tcW w:w="544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5268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Dodatkowy tryb pomiarowy przeznaczony dla próbek o niskich wartościach WBC, RBC, PLT</w:t>
            </w:r>
          </w:p>
        </w:tc>
        <w:tc>
          <w:tcPr>
            <w:tcW w:w="1418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835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1D09" w:rsidRPr="00E11D09" w:rsidTr="00051625">
        <w:tc>
          <w:tcPr>
            <w:tcW w:w="544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5268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Objętość próbki w trybie CBC+DIFF nie większa niż 110µl krwi</w:t>
            </w:r>
          </w:p>
        </w:tc>
        <w:tc>
          <w:tcPr>
            <w:tcW w:w="1418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835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1D09" w:rsidRPr="00E11D09" w:rsidTr="00051625">
        <w:tc>
          <w:tcPr>
            <w:tcW w:w="544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5268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Wykonywanie badań w systemie automatycznym z podajnikiem i manualnie. Automatyczny podajnik na 120 próbek dostosowany do różnego typu zamkniętych systemów pobierania krwi. Możliwość dostawiania próbek do podajnika w trakcie pracy analizatora. Automatyczne mieszanie próbek przed aspiracją w trybie pracy z podajnikiem.</w:t>
            </w:r>
          </w:p>
        </w:tc>
        <w:tc>
          <w:tcPr>
            <w:tcW w:w="1418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835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1D09" w:rsidRPr="00E11D09" w:rsidTr="00051625">
        <w:tc>
          <w:tcPr>
            <w:tcW w:w="544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9.</w:t>
            </w:r>
          </w:p>
        </w:tc>
        <w:tc>
          <w:tcPr>
            <w:tcW w:w="5268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Pomiar anizocytozy RBC w oparciu o następujące parametry raportowane  na wyniku RDW-SD oraz RDW-CV</w:t>
            </w:r>
          </w:p>
        </w:tc>
        <w:tc>
          <w:tcPr>
            <w:tcW w:w="1418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835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1D09" w:rsidRPr="00E11D09" w:rsidTr="00051625">
        <w:tc>
          <w:tcPr>
            <w:tcW w:w="544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10.</w:t>
            </w:r>
          </w:p>
        </w:tc>
        <w:tc>
          <w:tcPr>
            <w:tcW w:w="5268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Wydruki wyników zawierają wszystkie oznaczane parametry wraz zakresem wartości prawidłowych. Wynik patologiczne są flagowane  i opatrzone komentarzem  opisującym typowe patologie.</w:t>
            </w:r>
          </w:p>
        </w:tc>
        <w:tc>
          <w:tcPr>
            <w:tcW w:w="1418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835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1D09" w:rsidRPr="00E11D09" w:rsidTr="00051625">
        <w:tc>
          <w:tcPr>
            <w:tcW w:w="544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11.</w:t>
            </w:r>
          </w:p>
        </w:tc>
        <w:tc>
          <w:tcPr>
            <w:tcW w:w="5268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Wszystkie parametry oznaczane raportowane na wyniku pacjenta</w:t>
            </w:r>
          </w:p>
        </w:tc>
        <w:tc>
          <w:tcPr>
            <w:tcW w:w="1418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835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1D09" w:rsidRPr="00E11D09" w:rsidTr="00051625">
        <w:tc>
          <w:tcPr>
            <w:tcW w:w="544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12.</w:t>
            </w:r>
          </w:p>
        </w:tc>
        <w:tc>
          <w:tcPr>
            <w:tcW w:w="5268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Maksymalna ilość 6 odczynników wykorzystywana do pełnego oznaczenia we wszystkich trybach CBC, CBC-DIFF, Retikulocyty. Możliwość wyboru pracy CBC i CBC- 5DIFF</w:t>
            </w:r>
          </w:p>
        </w:tc>
        <w:tc>
          <w:tcPr>
            <w:tcW w:w="1418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835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1D09" w:rsidRPr="00E11D09" w:rsidTr="00051625">
        <w:tc>
          <w:tcPr>
            <w:tcW w:w="544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13.</w:t>
            </w:r>
          </w:p>
        </w:tc>
        <w:tc>
          <w:tcPr>
            <w:tcW w:w="5268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Możliwość monitorowania niedokrwistości z wykorzystaniem parametrów stopnia mikro i makrocytozy MICRO%, MACRO%</w:t>
            </w:r>
          </w:p>
        </w:tc>
        <w:tc>
          <w:tcPr>
            <w:tcW w:w="1418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835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1D09" w:rsidRPr="00E11D09" w:rsidTr="00051625">
        <w:tc>
          <w:tcPr>
            <w:tcW w:w="544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14.</w:t>
            </w:r>
          </w:p>
        </w:tc>
        <w:tc>
          <w:tcPr>
            <w:tcW w:w="5268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Minimalna pamięć wewnętrzna 10000 wyników badań z grafiką</w:t>
            </w:r>
          </w:p>
        </w:tc>
        <w:tc>
          <w:tcPr>
            <w:tcW w:w="1418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835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1D09" w:rsidRPr="00E11D09" w:rsidTr="00051625">
        <w:tc>
          <w:tcPr>
            <w:tcW w:w="544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 xml:space="preserve">15. </w:t>
            </w:r>
          </w:p>
        </w:tc>
        <w:tc>
          <w:tcPr>
            <w:tcW w:w="5268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Pomiar płynów z jam ciała z możliwością oznaczania komórek leukocytarnych jedno i wielojądrzastych oraz RBC, wartości raportowane na wyniku pacjenta</w:t>
            </w:r>
          </w:p>
        </w:tc>
        <w:tc>
          <w:tcPr>
            <w:tcW w:w="1418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835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1D09" w:rsidRPr="00E11D09" w:rsidTr="00051625">
        <w:tc>
          <w:tcPr>
            <w:tcW w:w="544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16.</w:t>
            </w:r>
          </w:p>
        </w:tc>
        <w:tc>
          <w:tcPr>
            <w:tcW w:w="5268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Możliwość wprowadzenia do pamięci analizatora trzech poziomów kontroli jakości za pomocą czytnika USB, oddzielny materiał kontrolny dla CBC-DIFF i retikulocytów</w:t>
            </w:r>
          </w:p>
        </w:tc>
        <w:tc>
          <w:tcPr>
            <w:tcW w:w="1418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835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1D09" w:rsidRPr="00E11D09" w:rsidTr="00051625">
        <w:tc>
          <w:tcPr>
            <w:tcW w:w="544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17.</w:t>
            </w:r>
          </w:p>
        </w:tc>
        <w:tc>
          <w:tcPr>
            <w:tcW w:w="5268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 xml:space="preserve">Pomiar retykulocytów z wykorzystaniem fluorescencynej cytometrii przepływowej i płytek optycznych za pomocą pomiaru ekstynkcji światła polichromatycznego, parametr IRF ( frakcja niedojrzałych retykulocytów) oraz </w:t>
            </w:r>
            <w:r w:rsidRPr="00E11D09">
              <w:rPr>
                <w:rFonts w:ascii="Arial" w:hAnsi="Arial" w:cs="Arial"/>
                <w:sz w:val="20"/>
                <w:szCs w:val="20"/>
              </w:rPr>
              <w:lastRenderedPageBreak/>
              <w:t>LPF (frakcja dużych, młodych płytek) mierzone wraz z płytkami optycznymi</w:t>
            </w:r>
          </w:p>
        </w:tc>
        <w:tc>
          <w:tcPr>
            <w:tcW w:w="1418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lastRenderedPageBreak/>
              <w:t>TAK</w:t>
            </w:r>
          </w:p>
        </w:tc>
        <w:tc>
          <w:tcPr>
            <w:tcW w:w="2835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1D09" w:rsidRPr="00E11D09" w:rsidTr="00051625">
        <w:tc>
          <w:tcPr>
            <w:tcW w:w="544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18.</w:t>
            </w:r>
          </w:p>
        </w:tc>
        <w:tc>
          <w:tcPr>
            <w:tcW w:w="5268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Pomiar parametrów retikulocytarnych takich jak : RET#,RET%, RETH%, RETM%, RETL%, IRF, RHCc ( zawartość hemoglobiny w retykulocycie), MRV, CRC (retykulocytoza skorygowana)</w:t>
            </w:r>
          </w:p>
        </w:tc>
        <w:tc>
          <w:tcPr>
            <w:tcW w:w="1418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835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1D09" w:rsidRPr="00E11D09" w:rsidTr="00051625">
        <w:tc>
          <w:tcPr>
            <w:tcW w:w="544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19.</w:t>
            </w:r>
          </w:p>
        </w:tc>
        <w:tc>
          <w:tcPr>
            <w:tcW w:w="5268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Wszystkie oferowane  odczynniki  a także materiały kontrolne  od jednego producenta. Odczynniki pozbawione  zawartości metanolu i glikolu etylenowego.</w:t>
            </w:r>
          </w:p>
        </w:tc>
        <w:tc>
          <w:tcPr>
            <w:tcW w:w="1418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835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1D09" w:rsidRPr="00E11D09" w:rsidTr="00051625">
        <w:tc>
          <w:tcPr>
            <w:tcW w:w="544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20.</w:t>
            </w:r>
          </w:p>
        </w:tc>
        <w:tc>
          <w:tcPr>
            <w:tcW w:w="5268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Możliwość zintegrowania analizatora  w system automatycznej platformy hematologicznej.</w:t>
            </w:r>
          </w:p>
        </w:tc>
        <w:tc>
          <w:tcPr>
            <w:tcW w:w="1418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835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1D09" w:rsidRPr="00E11D09" w:rsidTr="00051625">
        <w:tc>
          <w:tcPr>
            <w:tcW w:w="544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21.</w:t>
            </w:r>
          </w:p>
        </w:tc>
        <w:tc>
          <w:tcPr>
            <w:tcW w:w="5268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 xml:space="preserve">Przy każdym oznaczeniu CBC-DIFF automatyczna korekcja WBC  na obecność NRBC/erytroblasty- jądrzaste </w:t>
            </w:r>
          </w:p>
        </w:tc>
        <w:tc>
          <w:tcPr>
            <w:tcW w:w="1418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835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1D09" w:rsidRPr="00E11D09" w:rsidTr="00051625">
        <w:tc>
          <w:tcPr>
            <w:tcW w:w="544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22.</w:t>
            </w:r>
          </w:p>
        </w:tc>
        <w:tc>
          <w:tcPr>
            <w:tcW w:w="5268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Materiały kontrolne do codziennej kontroli jakości na trzech poziomach wartości  (L,N,H). Materiał kontrolny dedykowany  do płynów z jam ciała. Krew kontrolna dostępna w probówkach systemu zamkniętego. Parametry krwi kontrolnej  wczytywane są za pomocą kodu kreskowego lub nośnika zewnętrznego.</w:t>
            </w:r>
          </w:p>
        </w:tc>
        <w:tc>
          <w:tcPr>
            <w:tcW w:w="1418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835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1D09" w:rsidRPr="00E11D09" w:rsidTr="00051625">
        <w:tc>
          <w:tcPr>
            <w:tcW w:w="544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23.</w:t>
            </w:r>
          </w:p>
        </w:tc>
        <w:tc>
          <w:tcPr>
            <w:tcW w:w="5268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Oddzielny materiał kontrolny dla retikulocytów, wymagany do użycia jedynie w tych dniach gdy wykonywane są badania retikulocytów</w:t>
            </w:r>
          </w:p>
        </w:tc>
        <w:tc>
          <w:tcPr>
            <w:tcW w:w="1418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835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1D09" w:rsidRPr="00E11D09" w:rsidTr="00051625">
        <w:tc>
          <w:tcPr>
            <w:tcW w:w="544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24.</w:t>
            </w:r>
          </w:p>
        </w:tc>
        <w:tc>
          <w:tcPr>
            <w:tcW w:w="5268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Instrukcja obsługi analizatora w języku polskim wbudowana w specjalistyczne oprogramowanie aparatu</w:t>
            </w:r>
          </w:p>
        </w:tc>
        <w:tc>
          <w:tcPr>
            <w:tcW w:w="1418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835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1D09" w:rsidRPr="00E11D09" w:rsidTr="00051625">
        <w:tc>
          <w:tcPr>
            <w:tcW w:w="544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25.</w:t>
            </w:r>
          </w:p>
        </w:tc>
        <w:tc>
          <w:tcPr>
            <w:tcW w:w="5268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Wydruki wyników  zawierają wszystkie oznaczane parametry wraz z zakresem wartości prawidłowych. Flagowanie wyników patologicznych wraz z komunikatami opisującymi patologie.</w:t>
            </w:r>
          </w:p>
        </w:tc>
        <w:tc>
          <w:tcPr>
            <w:tcW w:w="1418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835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1D09" w:rsidRPr="00E11D09" w:rsidTr="00051625">
        <w:tc>
          <w:tcPr>
            <w:tcW w:w="544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26.</w:t>
            </w:r>
          </w:p>
        </w:tc>
        <w:tc>
          <w:tcPr>
            <w:tcW w:w="5268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Możliwość graficznej prezentacji wyników pomiaru na 3 kolorowych wykresach typu skategram  i min. 2 histogramach na ekranie LCD oraz  na kolorowym wydruku wyniku z analizatora</w:t>
            </w:r>
          </w:p>
        </w:tc>
        <w:tc>
          <w:tcPr>
            <w:tcW w:w="1418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835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1D09" w:rsidRPr="00E11D09" w:rsidTr="00051625">
        <w:tc>
          <w:tcPr>
            <w:tcW w:w="544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27.</w:t>
            </w:r>
          </w:p>
        </w:tc>
        <w:tc>
          <w:tcPr>
            <w:tcW w:w="5268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 xml:space="preserve">Możliwość programowania wartości referencyjnych w zależności od płci i wieku oraz wprowadzania danych demograficznych pacjenta </w:t>
            </w:r>
          </w:p>
        </w:tc>
        <w:tc>
          <w:tcPr>
            <w:tcW w:w="1418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835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1D09" w:rsidRPr="00E11D09" w:rsidTr="00051625">
        <w:tc>
          <w:tcPr>
            <w:tcW w:w="544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28.</w:t>
            </w:r>
          </w:p>
        </w:tc>
        <w:tc>
          <w:tcPr>
            <w:tcW w:w="5268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Oprogramowanie umożliwiające obejrzenie wyników pacjenta  na przestrzeni czasu, wydruk wyniku automatyczny lub na żądanie. Wyniki przedstawione w formie liczbowej i  graficznej. System ostrzeżeń i alarmów informujących o nieprawidłowej pracy analizatora chroniący przed wydaniem niewiarygodnego wyniku.</w:t>
            </w:r>
          </w:p>
        </w:tc>
        <w:tc>
          <w:tcPr>
            <w:tcW w:w="1418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835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1D09" w:rsidRPr="00E11D09" w:rsidTr="00051625">
        <w:tc>
          <w:tcPr>
            <w:tcW w:w="544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29.</w:t>
            </w:r>
          </w:p>
        </w:tc>
        <w:tc>
          <w:tcPr>
            <w:tcW w:w="5268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Jedna igła próbkowa  wykorzystana w trybie manualnym  i automatycznym. Automatyczne i kompleksowe czyszczenie igły aspirującej po każdym pobraniu.</w:t>
            </w:r>
          </w:p>
        </w:tc>
        <w:tc>
          <w:tcPr>
            <w:tcW w:w="1418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835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1D09" w:rsidRPr="00E11D09" w:rsidTr="00051625">
        <w:tc>
          <w:tcPr>
            <w:tcW w:w="544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30.</w:t>
            </w:r>
          </w:p>
        </w:tc>
        <w:tc>
          <w:tcPr>
            <w:tcW w:w="5268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Automatyczna codzienna procedura konserwacyjna w programach start-up , shut-down.</w:t>
            </w:r>
          </w:p>
        </w:tc>
        <w:tc>
          <w:tcPr>
            <w:tcW w:w="1418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835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1D09" w:rsidRPr="00E11D09" w:rsidTr="00051625">
        <w:tc>
          <w:tcPr>
            <w:tcW w:w="544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31.</w:t>
            </w:r>
          </w:p>
        </w:tc>
        <w:tc>
          <w:tcPr>
            <w:tcW w:w="5268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Rozbudowany system kontroli jakości dla 3 poziomów materiałów kontrolnych: tabele dla wartości średnich , SD, CV, graficzne wykresy Levey-Jenningsa. Wprowadzanie kontroli do pamięci analizatora za pomocą czytnika USB. Możliwość edytowania i usuwania wybranych kontroli.</w:t>
            </w:r>
          </w:p>
        </w:tc>
        <w:tc>
          <w:tcPr>
            <w:tcW w:w="1418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835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1D09" w:rsidRPr="00E11D09" w:rsidTr="00051625">
        <w:tc>
          <w:tcPr>
            <w:tcW w:w="544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32.</w:t>
            </w:r>
          </w:p>
        </w:tc>
        <w:tc>
          <w:tcPr>
            <w:tcW w:w="5268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Zewnętrzny czytnik kodów kreskowych.</w:t>
            </w:r>
          </w:p>
        </w:tc>
        <w:tc>
          <w:tcPr>
            <w:tcW w:w="1418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835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1D09" w:rsidRPr="00E11D09" w:rsidTr="00051625">
        <w:tc>
          <w:tcPr>
            <w:tcW w:w="544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33.</w:t>
            </w:r>
          </w:p>
        </w:tc>
        <w:tc>
          <w:tcPr>
            <w:tcW w:w="5268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Wykonawca zapewni aktualizację oprogramowania analizatora w czasie trwania umowy.</w:t>
            </w:r>
          </w:p>
        </w:tc>
        <w:tc>
          <w:tcPr>
            <w:tcW w:w="1418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835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1D09" w:rsidRPr="00E11D09" w:rsidTr="00051625">
        <w:tc>
          <w:tcPr>
            <w:tcW w:w="544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34.</w:t>
            </w:r>
          </w:p>
        </w:tc>
        <w:tc>
          <w:tcPr>
            <w:tcW w:w="5268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Dodatkowa stacja walidująca umożliwiająca definiowanie testów dodatkowych i powtórkowych</w:t>
            </w:r>
          </w:p>
        </w:tc>
        <w:tc>
          <w:tcPr>
            <w:tcW w:w="1418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835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1D09" w:rsidRPr="00E11D09" w:rsidTr="00051625">
        <w:tc>
          <w:tcPr>
            <w:tcW w:w="544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lastRenderedPageBreak/>
              <w:t>35.</w:t>
            </w:r>
          </w:p>
        </w:tc>
        <w:tc>
          <w:tcPr>
            <w:tcW w:w="5268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Instalacja  w Pracowni Głównej Laboratorium Szpitala Pomnik Chrztu Polski. Oferowany sprzęt musi odpowiadać warunkom lokalowym laboratorium Zamawiającego. W razie konieczności Wykonawca ponosi wszystkie koszty przygotowania stanowiska.</w:t>
            </w:r>
          </w:p>
        </w:tc>
        <w:tc>
          <w:tcPr>
            <w:tcW w:w="1418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835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1D09" w:rsidRPr="00E11D09" w:rsidTr="00051625">
        <w:tc>
          <w:tcPr>
            <w:tcW w:w="544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68" w:type="dxa"/>
          </w:tcPr>
          <w:p w:rsidR="00E11D09" w:rsidRPr="00E11D09" w:rsidRDefault="00E11D09" w:rsidP="0005162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11D09">
              <w:rPr>
                <w:rFonts w:ascii="Arial" w:hAnsi="Arial" w:cs="Arial"/>
                <w:b/>
                <w:sz w:val="20"/>
                <w:szCs w:val="20"/>
              </w:rPr>
              <w:t>Analizator hematologiczny CBC+DIFF uzupełniający</w:t>
            </w:r>
          </w:p>
          <w:p w:rsidR="00E11D09" w:rsidRPr="00E11D09" w:rsidRDefault="00E11D09" w:rsidP="0005162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11D09">
              <w:rPr>
                <w:rFonts w:ascii="Arial" w:hAnsi="Arial" w:cs="Arial"/>
                <w:b/>
                <w:sz w:val="20"/>
                <w:szCs w:val="20"/>
              </w:rPr>
              <w:t>Warunki graniczne</w:t>
            </w:r>
          </w:p>
        </w:tc>
        <w:tc>
          <w:tcPr>
            <w:tcW w:w="1418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1D09" w:rsidRPr="00E11D09" w:rsidTr="00051625">
        <w:tc>
          <w:tcPr>
            <w:tcW w:w="544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5268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Analizator uzupełniający: analizator fabrycznie nowy, nie starszy niż rok 2025, podać nazwę /typ i nazwę producenta ,wyklucza się egzemplarze demonstracyjne i testowe.</w:t>
            </w:r>
          </w:p>
        </w:tc>
        <w:tc>
          <w:tcPr>
            <w:tcW w:w="1418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835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1D09" w:rsidRPr="00E11D09" w:rsidTr="00051625">
        <w:tc>
          <w:tcPr>
            <w:tcW w:w="544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5268" w:type="dxa"/>
          </w:tcPr>
          <w:p w:rsidR="00E11D09" w:rsidRPr="00E11D09" w:rsidRDefault="00E11D09" w:rsidP="0005162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Analizator minimum 37 parametrowy różnicujący leukocyty  na 10 populacji: neurocyty, ezynocyty, bazocyty, monocyty, limfocyty, limfocyty atypowe oraz młode formy leukocytarne   wyrażone w wartościach bezwzględnych i względnych z rozróżnieniem na młode formy granulocytarne, limfocytarne i monocytarne.</w:t>
            </w:r>
          </w:p>
        </w:tc>
        <w:tc>
          <w:tcPr>
            <w:tcW w:w="1418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835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1D09" w:rsidRPr="00E11D09" w:rsidTr="00051625">
        <w:tc>
          <w:tcPr>
            <w:tcW w:w="544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5268" w:type="dxa"/>
          </w:tcPr>
          <w:p w:rsidR="00E11D09" w:rsidRPr="00E11D09" w:rsidRDefault="00E11D09" w:rsidP="0005162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Wydajność około 60 oznaczeń na godzinę w trybie CBC+ diff.</w:t>
            </w:r>
          </w:p>
        </w:tc>
        <w:tc>
          <w:tcPr>
            <w:tcW w:w="1418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835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1D09" w:rsidRPr="00E11D09" w:rsidTr="00051625">
        <w:tc>
          <w:tcPr>
            <w:tcW w:w="544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5268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 xml:space="preserve">Rozdział WBC w oparciu o metodę cytometrii przepływowej  z wykorzystaniem pomiaru impedancji oraz pomiaru absorbancji światła przechodzącego </w:t>
            </w:r>
          </w:p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( optyczny) .</w:t>
            </w:r>
          </w:p>
        </w:tc>
        <w:tc>
          <w:tcPr>
            <w:tcW w:w="1418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835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1D09" w:rsidRPr="00E11D09" w:rsidTr="00051625">
        <w:tc>
          <w:tcPr>
            <w:tcW w:w="544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5268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Pomiar dużych niedojrzałych komórek granulocytarnych IMG%,IMG#, monocytarnych IMM%, IMM# i limfocytarnych IML% ,IML# oraz wspólnej frakcji LIC%,LIC#</w:t>
            </w:r>
          </w:p>
        </w:tc>
        <w:tc>
          <w:tcPr>
            <w:tcW w:w="1418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835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1D09" w:rsidRPr="00E11D09" w:rsidTr="00051625">
        <w:tc>
          <w:tcPr>
            <w:tcW w:w="544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5268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Parametry diagnostyczne w kierunku monitorowania niedokrwistości raportowane na wyniku pacjenta MIC%,MAC%</w:t>
            </w:r>
          </w:p>
        </w:tc>
        <w:tc>
          <w:tcPr>
            <w:tcW w:w="1418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835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1D09" w:rsidRPr="00E11D09" w:rsidTr="00051625">
        <w:tc>
          <w:tcPr>
            <w:tcW w:w="544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5268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Objętość próbki w trybie CBC+DIFF nie większa niż 20 µl krwi.</w:t>
            </w:r>
          </w:p>
        </w:tc>
        <w:tc>
          <w:tcPr>
            <w:tcW w:w="1418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835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1D09" w:rsidRPr="00E11D09" w:rsidTr="00051625">
        <w:tc>
          <w:tcPr>
            <w:tcW w:w="544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5268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Zakres liniowości pomiaru :</w:t>
            </w:r>
          </w:p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- WBC od 0 -300 x10</w:t>
            </w:r>
            <w:r w:rsidRPr="00E11D09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  <w:r w:rsidRPr="00E11D09">
              <w:rPr>
                <w:rFonts w:ascii="Arial" w:hAnsi="Arial" w:cs="Arial"/>
                <w:sz w:val="20"/>
                <w:szCs w:val="20"/>
              </w:rPr>
              <w:t>/µL</w:t>
            </w:r>
          </w:p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11D09">
              <w:rPr>
                <w:rFonts w:ascii="Arial" w:hAnsi="Arial" w:cs="Arial"/>
                <w:sz w:val="20"/>
                <w:szCs w:val="20"/>
                <w:lang w:val="en-US"/>
              </w:rPr>
              <w:t>- RBC  od 0 – 8 x10</w:t>
            </w:r>
            <w:r w:rsidRPr="00E11D09">
              <w:rPr>
                <w:rFonts w:ascii="Arial" w:hAnsi="Arial" w:cs="Arial"/>
                <w:sz w:val="20"/>
                <w:szCs w:val="20"/>
                <w:vertAlign w:val="superscript"/>
                <w:lang w:val="en-US"/>
              </w:rPr>
              <w:t>6</w:t>
            </w:r>
            <w:r w:rsidRPr="00E11D09">
              <w:rPr>
                <w:rFonts w:ascii="Arial" w:hAnsi="Arial" w:cs="Arial"/>
                <w:sz w:val="20"/>
                <w:szCs w:val="20"/>
                <w:lang w:val="en-US"/>
              </w:rPr>
              <w:t>/µL</w:t>
            </w:r>
          </w:p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11D09">
              <w:rPr>
                <w:rFonts w:ascii="Arial" w:hAnsi="Arial" w:cs="Arial"/>
                <w:sz w:val="20"/>
                <w:szCs w:val="20"/>
                <w:lang w:val="en-US"/>
              </w:rPr>
              <w:t>- HGB  od 0 -24 g/dl</w:t>
            </w:r>
          </w:p>
          <w:p w:rsidR="00E11D09" w:rsidRPr="00E11D09" w:rsidRDefault="00E11D09" w:rsidP="0005162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  <w:lang w:val="en-US"/>
              </w:rPr>
              <w:t>- PLT   od 0- 2500 x10</w:t>
            </w:r>
            <w:r w:rsidRPr="00E11D09">
              <w:rPr>
                <w:rFonts w:ascii="Arial" w:hAnsi="Arial" w:cs="Arial"/>
                <w:sz w:val="20"/>
                <w:szCs w:val="20"/>
                <w:vertAlign w:val="superscript"/>
                <w:lang w:val="en-US"/>
              </w:rPr>
              <w:t>3</w:t>
            </w:r>
            <w:r w:rsidRPr="00E11D09">
              <w:rPr>
                <w:rFonts w:ascii="Arial" w:hAnsi="Arial" w:cs="Arial"/>
                <w:sz w:val="20"/>
                <w:szCs w:val="20"/>
                <w:lang w:val="en-US"/>
              </w:rPr>
              <w:t>/µL)</w:t>
            </w:r>
          </w:p>
        </w:tc>
        <w:tc>
          <w:tcPr>
            <w:tcW w:w="1418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835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1D09" w:rsidRPr="00E11D09" w:rsidTr="00051625">
        <w:tc>
          <w:tcPr>
            <w:tcW w:w="544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9.</w:t>
            </w:r>
          </w:p>
        </w:tc>
        <w:tc>
          <w:tcPr>
            <w:tcW w:w="5268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Tryb wstępnego rozcieńczania z zastosowaniem dedykowanego dla mikropróbki współczynnika rozcieńczenia</w:t>
            </w:r>
          </w:p>
        </w:tc>
        <w:tc>
          <w:tcPr>
            <w:tcW w:w="1418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835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1D09" w:rsidRPr="00E11D09" w:rsidTr="00051625">
        <w:tc>
          <w:tcPr>
            <w:tcW w:w="544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10.</w:t>
            </w:r>
          </w:p>
        </w:tc>
        <w:tc>
          <w:tcPr>
            <w:tcW w:w="5268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Wszystkie parametry drukowane na wyniku pacjenta</w:t>
            </w:r>
          </w:p>
        </w:tc>
        <w:tc>
          <w:tcPr>
            <w:tcW w:w="1418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835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1D09" w:rsidRPr="00E11D09" w:rsidTr="00051625">
        <w:tc>
          <w:tcPr>
            <w:tcW w:w="544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11.</w:t>
            </w:r>
          </w:p>
        </w:tc>
        <w:tc>
          <w:tcPr>
            <w:tcW w:w="5268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Zdalny moduł serwisowy z możliwością wysyłania wyników wewnątrzlaboratoryjnej kontroli jakości w trybie online do systemu międzylaboratoryjnej kontroli jakości</w:t>
            </w:r>
          </w:p>
        </w:tc>
        <w:tc>
          <w:tcPr>
            <w:tcW w:w="1418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835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1D09" w:rsidRPr="00E11D09" w:rsidTr="00051625">
        <w:tc>
          <w:tcPr>
            <w:tcW w:w="544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12.</w:t>
            </w:r>
          </w:p>
        </w:tc>
        <w:tc>
          <w:tcPr>
            <w:tcW w:w="5268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Maksymalnie 3 odczynniki do wykonania pełnej morfologii CBC+DIFF.</w:t>
            </w:r>
          </w:p>
        </w:tc>
        <w:tc>
          <w:tcPr>
            <w:tcW w:w="1418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835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1D09" w:rsidRPr="00E11D09" w:rsidTr="00051625">
        <w:tc>
          <w:tcPr>
            <w:tcW w:w="544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13.</w:t>
            </w:r>
          </w:p>
        </w:tc>
        <w:tc>
          <w:tcPr>
            <w:tcW w:w="5268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Minimalna pamięć wewnętrzna analizatora na 10000 wyników badań wraz z grafiką.</w:t>
            </w:r>
          </w:p>
        </w:tc>
        <w:tc>
          <w:tcPr>
            <w:tcW w:w="1418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835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1D09" w:rsidRPr="00E11D09" w:rsidTr="00051625">
        <w:tc>
          <w:tcPr>
            <w:tcW w:w="544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14.</w:t>
            </w:r>
          </w:p>
        </w:tc>
        <w:tc>
          <w:tcPr>
            <w:tcW w:w="5268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Komunikacja z systemem LIS dwukierunkowa</w:t>
            </w:r>
          </w:p>
        </w:tc>
        <w:tc>
          <w:tcPr>
            <w:tcW w:w="1418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835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1D09" w:rsidRPr="00E11D09" w:rsidTr="00051625">
        <w:tc>
          <w:tcPr>
            <w:tcW w:w="544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15.</w:t>
            </w:r>
          </w:p>
        </w:tc>
        <w:tc>
          <w:tcPr>
            <w:tcW w:w="5268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Możliwość wprowadzenia do pamięci analizatora trzech poziomów kontroli jakości za pomocą czytnika USB</w:t>
            </w:r>
          </w:p>
        </w:tc>
        <w:tc>
          <w:tcPr>
            <w:tcW w:w="1418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835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1D09" w:rsidRPr="00E11D09" w:rsidTr="00051625">
        <w:tc>
          <w:tcPr>
            <w:tcW w:w="544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16.</w:t>
            </w:r>
          </w:p>
        </w:tc>
        <w:tc>
          <w:tcPr>
            <w:tcW w:w="5268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Oprogramowanie analizatora  w języku polskim</w:t>
            </w:r>
          </w:p>
        </w:tc>
        <w:tc>
          <w:tcPr>
            <w:tcW w:w="1418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835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1D09" w:rsidRPr="00E11D09" w:rsidTr="00051625">
        <w:tc>
          <w:tcPr>
            <w:tcW w:w="544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17.</w:t>
            </w:r>
          </w:p>
        </w:tc>
        <w:tc>
          <w:tcPr>
            <w:tcW w:w="5268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System aspiracji próbki – próbka otwarta</w:t>
            </w:r>
          </w:p>
        </w:tc>
        <w:tc>
          <w:tcPr>
            <w:tcW w:w="1418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835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1D09" w:rsidRPr="00E11D09" w:rsidTr="00051625">
        <w:tc>
          <w:tcPr>
            <w:tcW w:w="544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18.</w:t>
            </w:r>
          </w:p>
        </w:tc>
        <w:tc>
          <w:tcPr>
            <w:tcW w:w="5268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Okres stabilności każdego odczynnika po otwarciu nie krótszy niż jeden miesiąc.</w:t>
            </w:r>
          </w:p>
        </w:tc>
        <w:tc>
          <w:tcPr>
            <w:tcW w:w="1418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835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1D09" w:rsidRPr="00E11D09" w:rsidTr="00051625">
        <w:tc>
          <w:tcPr>
            <w:tcW w:w="544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19.</w:t>
            </w:r>
          </w:p>
        </w:tc>
        <w:tc>
          <w:tcPr>
            <w:tcW w:w="5268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 xml:space="preserve">Wszystkie oferowane odczynniki a także materiały kontrolne  od jednego producenta. Dostarczone odczynniki są automatycznie rozpoznawane przez </w:t>
            </w:r>
            <w:r w:rsidRPr="00E11D09">
              <w:rPr>
                <w:rFonts w:ascii="Arial" w:hAnsi="Arial" w:cs="Arial"/>
                <w:sz w:val="20"/>
                <w:szCs w:val="20"/>
              </w:rPr>
              <w:lastRenderedPageBreak/>
              <w:t>analizator, w pojemnikach przeznaczonych do bezpośredniego wykorzystania przez analizator.</w:t>
            </w:r>
          </w:p>
        </w:tc>
        <w:tc>
          <w:tcPr>
            <w:tcW w:w="1418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lastRenderedPageBreak/>
              <w:t>TAK</w:t>
            </w:r>
          </w:p>
        </w:tc>
        <w:tc>
          <w:tcPr>
            <w:tcW w:w="2835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1D09" w:rsidRPr="00E11D09" w:rsidTr="00051625">
        <w:tc>
          <w:tcPr>
            <w:tcW w:w="544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20.</w:t>
            </w:r>
          </w:p>
        </w:tc>
        <w:tc>
          <w:tcPr>
            <w:tcW w:w="5268" w:type="dxa"/>
          </w:tcPr>
          <w:p w:rsidR="00E11D09" w:rsidRPr="00E11D09" w:rsidRDefault="00E11D09" w:rsidP="0005162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Łatwe i szybkie przygotowanie do pracy ( gotowy do pracy 24godz. /dobę) w trybie pracy dziennej i dyżurowej</w:t>
            </w:r>
          </w:p>
        </w:tc>
        <w:tc>
          <w:tcPr>
            <w:tcW w:w="1418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835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1D09" w:rsidRPr="00E11D09" w:rsidTr="00051625">
        <w:tc>
          <w:tcPr>
            <w:tcW w:w="544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21.</w:t>
            </w:r>
          </w:p>
        </w:tc>
        <w:tc>
          <w:tcPr>
            <w:tcW w:w="5268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Kolorowe skategramy z rozdziałem na 10 subpopulacji WBC: limfocyty, monocyty, ezynocyty, bazocyty, neutrofile oraz komórki niedojrzałe IMG, IMM, IML,LIC</w:t>
            </w:r>
          </w:p>
        </w:tc>
        <w:tc>
          <w:tcPr>
            <w:tcW w:w="1418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835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1D09" w:rsidRPr="00E11D09" w:rsidTr="00051625">
        <w:tc>
          <w:tcPr>
            <w:tcW w:w="544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22.</w:t>
            </w:r>
          </w:p>
        </w:tc>
        <w:tc>
          <w:tcPr>
            <w:tcW w:w="5268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Zintegrowany z modułem analizatora komputer wewnętrzny oraz kolorowy  monitor dotykowy.</w:t>
            </w:r>
          </w:p>
        </w:tc>
        <w:tc>
          <w:tcPr>
            <w:tcW w:w="1418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835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1D09" w:rsidRPr="00E11D09" w:rsidTr="00051625">
        <w:tc>
          <w:tcPr>
            <w:tcW w:w="544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23.</w:t>
            </w:r>
          </w:p>
        </w:tc>
        <w:tc>
          <w:tcPr>
            <w:tcW w:w="5268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System podtrzymywania napięcia  UPS przez okres minimum 20 minut</w:t>
            </w:r>
          </w:p>
        </w:tc>
        <w:tc>
          <w:tcPr>
            <w:tcW w:w="1418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835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1D09" w:rsidRPr="00E11D09" w:rsidTr="00051625">
        <w:tc>
          <w:tcPr>
            <w:tcW w:w="544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24.</w:t>
            </w:r>
          </w:p>
        </w:tc>
        <w:tc>
          <w:tcPr>
            <w:tcW w:w="5268" w:type="dxa"/>
          </w:tcPr>
          <w:p w:rsidR="00E11D09" w:rsidRPr="00E11D09" w:rsidRDefault="00E11D09" w:rsidP="0005162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Ekonomiczna w użytkowaniu laserowa drukarka zewnętrzna</w:t>
            </w:r>
          </w:p>
        </w:tc>
        <w:tc>
          <w:tcPr>
            <w:tcW w:w="1418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835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1D09" w:rsidRPr="00E11D09" w:rsidTr="00051625">
        <w:tc>
          <w:tcPr>
            <w:tcW w:w="544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25.</w:t>
            </w:r>
          </w:p>
        </w:tc>
        <w:tc>
          <w:tcPr>
            <w:tcW w:w="5268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Wykonawca zapewni aktualizację oprogramowania analizatora w czasie trwania umowy</w:t>
            </w:r>
          </w:p>
        </w:tc>
        <w:tc>
          <w:tcPr>
            <w:tcW w:w="1418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835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11D09" w:rsidRPr="00E11D09" w:rsidRDefault="00E11D09" w:rsidP="00E11D09">
      <w:pPr>
        <w:rPr>
          <w:rFonts w:ascii="Arial" w:hAnsi="Arial" w:cs="Arial"/>
          <w:sz w:val="20"/>
          <w:szCs w:val="20"/>
        </w:rPr>
      </w:pPr>
    </w:p>
    <w:p w:rsidR="00E11D09" w:rsidRPr="00E11D09" w:rsidRDefault="00E11D09" w:rsidP="00E11D09">
      <w:pPr>
        <w:rPr>
          <w:rFonts w:ascii="Arial" w:hAnsi="Arial" w:cs="Arial"/>
          <w:b/>
          <w:sz w:val="20"/>
          <w:szCs w:val="20"/>
        </w:rPr>
      </w:pPr>
      <w:r w:rsidRPr="00E11D09">
        <w:rPr>
          <w:rFonts w:ascii="Arial" w:hAnsi="Arial" w:cs="Arial"/>
          <w:b/>
          <w:sz w:val="20"/>
          <w:szCs w:val="20"/>
        </w:rPr>
        <w:t>Warunki gwarancji, serwisu i inne</w:t>
      </w:r>
    </w:p>
    <w:tbl>
      <w:tblPr>
        <w:tblStyle w:val="Tabela-Siatka"/>
        <w:tblW w:w="10065" w:type="dxa"/>
        <w:tblInd w:w="-572" w:type="dxa"/>
        <w:tblLook w:val="04A0" w:firstRow="1" w:lastRow="0" w:firstColumn="1" w:lastColumn="0" w:noHBand="0" w:noVBand="1"/>
      </w:tblPr>
      <w:tblGrid>
        <w:gridCol w:w="567"/>
        <w:gridCol w:w="5245"/>
        <w:gridCol w:w="1418"/>
        <w:gridCol w:w="2835"/>
      </w:tblGrid>
      <w:tr w:rsidR="00E11D09" w:rsidRPr="00E11D09" w:rsidTr="00051625">
        <w:tc>
          <w:tcPr>
            <w:tcW w:w="567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Lp</w:t>
            </w:r>
          </w:p>
        </w:tc>
        <w:tc>
          <w:tcPr>
            <w:tcW w:w="5245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Warunki gwarancji, serwisu i inne</w:t>
            </w:r>
          </w:p>
          <w:p w:rsidR="00E11D09" w:rsidRPr="00E11D09" w:rsidRDefault="00E11D09" w:rsidP="0005162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Warunek konieczny</w:t>
            </w:r>
          </w:p>
          <w:p w:rsidR="00E11D09" w:rsidRPr="00E11D09" w:rsidRDefault="00E11D09" w:rsidP="0005162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(wymagany)</w:t>
            </w:r>
          </w:p>
        </w:tc>
        <w:tc>
          <w:tcPr>
            <w:tcW w:w="2835" w:type="dxa"/>
          </w:tcPr>
          <w:p w:rsidR="00E11D09" w:rsidRPr="00E11D09" w:rsidRDefault="00E11D09" w:rsidP="0005162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Oświadczenie spełnienia parametru (tak/nie) oraz opis oferowanych parametrów</w:t>
            </w:r>
          </w:p>
        </w:tc>
      </w:tr>
      <w:tr w:rsidR="00E11D09" w:rsidRPr="00E11D09" w:rsidTr="00051625">
        <w:tc>
          <w:tcPr>
            <w:tcW w:w="567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5245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Analizatory objęte gwarancją i bezpłatnym, autoryzowanym serwisem producenckim  przez cały czas trwania umowy. Dołączyć zaświadczenie potwierdzające autoryzację serwisu do oferty.</w:t>
            </w:r>
          </w:p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 xml:space="preserve">Gwarancja techniczna – uwzględniająca koszty napraw, wymiany podzespołów, przeglądów serwisowych </w:t>
            </w:r>
          </w:p>
          <w:p w:rsidR="00E11D09" w:rsidRPr="00E11D09" w:rsidRDefault="00E11D09" w:rsidP="0005162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( minimum 1x w ciągu roku) zakończonych wydaniem świadectwa sprawdzenia stanu technicznego urządzeń i aparatury.</w:t>
            </w:r>
          </w:p>
        </w:tc>
        <w:tc>
          <w:tcPr>
            <w:tcW w:w="1418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835" w:type="dxa"/>
          </w:tcPr>
          <w:p w:rsidR="00E11D09" w:rsidRPr="00E11D09" w:rsidRDefault="00E11D09" w:rsidP="0005162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11D09" w:rsidRPr="00E11D09" w:rsidTr="00051625">
        <w:tc>
          <w:tcPr>
            <w:tcW w:w="567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5245" w:type="dxa"/>
          </w:tcPr>
          <w:p w:rsidR="00E11D09" w:rsidRPr="00E11D09" w:rsidRDefault="00E11D09" w:rsidP="0005162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Czas reakcji serwisu (przyjazd inżyniera serwisowego) maksimum 24h od zgłoszenia.</w:t>
            </w:r>
          </w:p>
        </w:tc>
        <w:tc>
          <w:tcPr>
            <w:tcW w:w="1418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835" w:type="dxa"/>
          </w:tcPr>
          <w:p w:rsidR="00E11D09" w:rsidRPr="00E11D09" w:rsidRDefault="00E11D09" w:rsidP="0005162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11D09" w:rsidRPr="00E11D09" w:rsidTr="00051625">
        <w:tc>
          <w:tcPr>
            <w:tcW w:w="567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5245" w:type="dxa"/>
          </w:tcPr>
          <w:p w:rsidR="00E11D09" w:rsidRPr="00E11D09" w:rsidRDefault="00E11D09" w:rsidP="0005162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Wykonawca dokona montażu w/w sprzętu w terminie 4 tygodni od daty obowiązywania umowy oraz zapewni bezpłatne przeszkolenie personelu Laboratorium w obsłudze analizatorów i interpretacji wyników w czasie i miejscu wskazanym przez Zamawiającego.</w:t>
            </w:r>
          </w:p>
        </w:tc>
        <w:tc>
          <w:tcPr>
            <w:tcW w:w="1418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835" w:type="dxa"/>
          </w:tcPr>
          <w:p w:rsidR="00E11D09" w:rsidRPr="00E11D09" w:rsidRDefault="00E11D09" w:rsidP="0005162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11D09" w:rsidRPr="00E11D09" w:rsidTr="00051625">
        <w:tc>
          <w:tcPr>
            <w:tcW w:w="567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5245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Koszt podłączenia i konfiguracji analizatorów do  istniejącego Laboratoryjnego Systemu Informatycznego (LIS) – „Centrum” firmy „Marcel” ponosi Wykonawca</w:t>
            </w:r>
          </w:p>
        </w:tc>
        <w:tc>
          <w:tcPr>
            <w:tcW w:w="1418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835" w:type="dxa"/>
          </w:tcPr>
          <w:p w:rsidR="00E11D09" w:rsidRPr="00E11D09" w:rsidRDefault="00E11D09" w:rsidP="0005162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11D09" w:rsidRPr="00E11D09" w:rsidTr="00051625">
        <w:tc>
          <w:tcPr>
            <w:tcW w:w="567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5245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Wykonawca dostarczy wraz z analizatorami instrukcje obsługi , metodyki badań w języku polskim oraz karty gwarancyjne.</w:t>
            </w:r>
          </w:p>
        </w:tc>
        <w:tc>
          <w:tcPr>
            <w:tcW w:w="1418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835" w:type="dxa"/>
          </w:tcPr>
          <w:p w:rsidR="00E11D09" w:rsidRPr="00E11D09" w:rsidRDefault="00E11D09" w:rsidP="0005162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11D09" w:rsidRPr="00E11D09" w:rsidTr="00051625">
        <w:tc>
          <w:tcPr>
            <w:tcW w:w="567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5245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 xml:space="preserve">Analizatory posiadające certyfikat zgodności Unii Europejskiej lub zgłoszenie do rejestru wyrobu medycznego </w:t>
            </w:r>
          </w:p>
        </w:tc>
        <w:tc>
          <w:tcPr>
            <w:tcW w:w="1418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835" w:type="dxa"/>
          </w:tcPr>
          <w:p w:rsidR="00E11D09" w:rsidRPr="00E11D09" w:rsidRDefault="00E11D09" w:rsidP="0005162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11D09" w:rsidRPr="00E11D09" w:rsidTr="00051625">
        <w:tc>
          <w:tcPr>
            <w:tcW w:w="567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5245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Dostarczenie z dostawą analizatorów wykazu substancji niebezpiecznych i ich kart charakterystyk w wersji elektronicznej</w:t>
            </w:r>
          </w:p>
        </w:tc>
        <w:tc>
          <w:tcPr>
            <w:tcW w:w="1418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835" w:type="dxa"/>
          </w:tcPr>
          <w:p w:rsidR="00E11D09" w:rsidRPr="00E11D09" w:rsidRDefault="00E11D09" w:rsidP="0005162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11D09" w:rsidRPr="00E11D09" w:rsidTr="00051625">
        <w:tc>
          <w:tcPr>
            <w:tcW w:w="567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5245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W związku z ochroną danych osobowych, wykonawca zobowiązuje się trwale usunąć wszystkie dane osobowe z pamięci analizatorów w siedzibie Szpitala Pomnik Chrztu Polski  w Gnieźnie przed demontażem i odbiorem dzierżawionych aparatów</w:t>
            </w:r>
          </w:p>
        </w:tc>
        <w:tc>
          <w:tcPr>
            <w:tcW w:w="1418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835" w:type="dxa"/>
          </w:tcPr>
          <w:p w:rsidR="00E11D09" w:rsidRPr="00E11D09" w:rsidRDefault="00E11D09" w:rsidP="0005162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E11D09" w:rsidRPr="00E11D09" w:rsidRDefault="00E11D09" w:rsidP="00E11D09">
      <w:pPr>
        <w:rPr>
          <w:rFonts w:ascii="Arial" w:hAnsi="Arial" w:cs="Arial"/>
          <w:b/>
          <w:sz w:val="20"/>
          <w:szCs w:val="20"/>
        </w:rPr>
      </w:pPr>
    </w:p>
    <w:p w:rsidR="00E11D09" w:rsidRPr="00E11D09" w:rsidRDefault="00E11D09" w:rsidP="00E11D09">
      <w:pPr>
        <w:rPr>
          <w:rFonts w:ascii="Arial" w:hAnsi="Arial" w:cs="Arial"/>
          <w:b/>
          <w:sz w:val="20"/>
          <w:szCs w:val="20"/>
        </w:rPr>
      </w:pPr>
      <w:r w:rsidRPr="00E11D09">
        <w:rPr>
          <w:rFonts w:ascii="Arial" w:hAnsi="Arial" w:cs="Arial"/>
          <w:b/>
          <w:sz w:val="20"/>
          <w:szCs w:val="20"/>
        </w:rPr>
        <w:lastRenderedPageBreak/>
        <w:t>Uwaga! W kolumnie „Warunek konieczny (wymagany )” – TAK –oznacza bezwzględny wymóg. Brak żądanej opcji lub niewypełnienie pola „Oświadczenie spełnienia parametru (tak/nie) oraz opis oferowanych parametrów” powoduje odrzucenie oferty</w:t>
      </w:r>
    </w:p>
    <w:p w:rsidR="00E11D09" w:rsidRPr="00E11D09" w:rsidRDefault="00E11D09" w:rsidP="00E11D09">
      <w:pPr>
        <w:rPr>
          <w:rFonts w:ascii="Arial" w:hAnsi="Arial" w:cs="Arial"/>
          <w:b/>
          <w:sz w:val="20"/>
          <w:szCs w:val="20"/>
        </w:rPr>
      </w:pPr>
      <w:r w:rsidRPr="00E11D09">
        <w:rPr>
          <w:rFonts w:ascii="Arial" w:hAnsi="Arial" w:cs="Arial"/>
          <w:b/>
          <w:sz w:val="20"/>
          <w:szCs w:val="20"/>
        </w:rPr>
        <w:t>Parametry opcjonalne podlegające ocenie</w:t>
      </w:r>
    </w:p>
    <w:tbl>
      <w:tblPr>
        <w:tblStyle w:val="Tabela-Siatka"/>
        <w:tblW w:w="10065" w:type="dxa"/>
        <w:tblInd w:w="-572" w:type="dxa"/>
        <w:tblLook w:val="04A0" w:firstRow="1" w:lastRow="0" w:firstColumn="1" w:lastColumn="0" w:noHBand="0" w:noVBand="1"/>
      </w:tblPr>
      <w:tblGrid>
        <w:gridCol w:w="567"/>
        <w:gridCol w:w="6096"/>
        <w:gridCol w:w="1701"/>
        <w:gridCol w:w="1701"/>
      </w:tblGrid>
      <w:tr w:rsidR="00E11D09" w:rsidRPr="00E11D09" w:rsidTr="00051625">
        <w:tc>
          <w:tcPr>
            <w:tcW w:w="567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Lp</w:t>
            </w:r>
          </w:p>
        </w:tc>
        <w:tc>
          <w:tcPr>
            <w:tcW w:w="6096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Parametry oceniane</w:t>
            </w:r>
          </w:p>
        </w:tc>
        <w:tc>
          <w:tcPr>
            <w:tcW w:w="1701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Punktacja</w:t>
            </w:r>
          </w:p>
        </w:tc>
        <w:tc>
          <w:tcPr>
            <w:tcW w:w="1701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TAK/NIE</w:t>
            </w:r>
          </w:p>
        </w:tc>
      </w:tr>
      <w:tr w:rsidR="00E11D09" w:rsidRPr="00E11D09" w:rsidTr="00051625">
        <w:tc>
          <w:tcPr>
            <w:tcW w:w="567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6096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Kontrola poziomu odczynników z graficzną informacją o poziomie zużycia</w:t>
            </w:r>
          </w:p>
        </w:tc>
        <w:tc>
          <w:tcPr>
            <w:tcW w:w="1701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TAK – 10 pkt</w:t>
            </w:r>
          </w:p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NIE – 0 pkt</w:t>
            </w:r>
          </w:p>
        </w:tc>
        <w:tc>
          <w:tcPr>
            <w:tcW w:w="1701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1D09" w:rsidRPr="00E11D09" w:rsidTr="00051625">
        <w:tc>
          <w:tcPr>
            <w:tcW w:w="567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6096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 xml:space="preserve"> Wykonawca zapewni dla dwóch analizatorów bezpłatny, wewnątrzlaboratoryjny program kontroli jakości badań połączony z międzylaboratoryjną , bezpłatną oceną jakości online wraz z wydaniem raz w roku certyfikatu uczestnictwa</w:t>
            </w:r>
          </w:p>
        </w:tc>
        <w:tc>
          <w:tcPr>
            <w:tcW w:w="1701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TAK – 10 pkt</w:t>
            </w:r>
          </w:p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NIE – 0 pkt</w:t>
            </w:r>
          </w:p>
        </w:tc>
        <w:tc>
          <w:tcPr>
            <w:tcW w:w="1701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1D09" w:rsidRPr="00E11D09" w:rsidTr="00051625">
        <w:tc>
          <w:tcPr>
            <w:tcW w:w="567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6096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 xml:space="preserve">Oznaczane i raportowane na wyniku parametry  PLT takie jak : PCT, PDW, P-LCC oraz P-LCR </w:t>
            </w:r>
          </w:p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Dotyczy analizatora uzupełniającego.</w:t>
            </w:r>
          </w:p>
        </w:tc>
        <w:tc>
          <w:tcPr>
            <w:tcW w:w="1701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TAK – 10 pkt</w:t>
            </w:r>
          </w:p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NIE – 0 pkt</w:t>
            </w:r>
          </w:p>
        </w:tc>
        <w:tc>
          <w:tcPr>
            <w:tcW w:w="1701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1D09" w:rsidRPr="00E11D09" w:rsidTr="00051625">
        <w:tc>
          <w:tcPr>
            <w:tcW w:w="567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6096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Pomiar anizocytozy RBC w oparciu o następujące parametry raportowane na wyniku RDW-SD oraz RDW-CV.</w:t>
            </w:r>
          </w:p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Dotyczy analizatora uzupełniającego.</w:t>
            </w:r>
          </w:p>
        </w:tc>
        <w:tc>
          <w:tcPr>
            <w:tcW w:w="1701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TAK – 10 pkt</w:t>
            </w:r>
          </w:p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  <w:r w:rsidRPr="00E11D09">
              <w:rPr>
                <w:rFonts w:ascii="Arial" w:hAnsi="Arial" w:cs="Arial"/>
                <w:sz w:val="20"/>
                <w:szCs w:val="20"/>
              </w:rPr>
              <w:t>NIE – 0 pkt</w:t>
            </w:r>
          </w:p>
        </w:tc>
        <w:tc>
          <w:tcPr>
            <w:tcW w:w="1701" w:type="dxa"/>
          </w:tcPr>
          <w:p w:rsidR="00E11D09" w:rsidRPr="00E11D09" w:rsidRDefault="00E11D09" w:rsidP="0005162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11EA9" w:rsidRPr="00E11D09" w:rsidRDefault="00911EA9" w:rsidP="00F063AA">
      <w:pPr>
        <w:spacing w:line="276" w:lineRule="auto"/>
        <w:rPr>
          <w:rFonts w:ascii="Arial" w:hAnsi="Arial" w:cs="Arial"/>
          <w:sz w:val="20"/>
          <w:szCs w:val="20"/>
        </w:rPr>
      </w:pPr>
    </w:p>
    <w:p w:rsidR="007D22F6" w:rsidRPr="00E11D09" w:rsidRDefault="00657BCD" w:rsidP="00911EA9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E11D09">
        <w:rPr>
          <w:rFonts w:ascii="Arial" w:hAnsi="Arial" w:cs="Arial"/>
          <w:sz w:val="20"/>
          <w:szCs w:val="20"/>
        </w:rPr>
        <w:t>W kolumnie TAK/NIE wpisać „TAK” jeśli analizator posiada lub spełnia wymogi, w przeciwnym wypadku wpisać „NIE”. Jest to jednoznaczne z przyznaniem odpowiedniej ilości punkt</w:t>
      </w:r>
      <w:r w:rsidR="0047491C" w:rsidRPr="00E11D09">
        <w:rPr>
          <w:rFonts w:ascii="Arial" w:hAnsi="Arial" w:cs="Arial"/>
          <w:sz w:val="20"/>
          <w:szCs w:val="20"/>
        </w:rPr>
        <w:t>ów</w:t>
      </w:r>
    </w:p>
    <w:p w:rsidR="00911EA9" w:rsidRPr="00E11D09" w:rsidRDefault="00911EA9" w:rsidP="00911EA9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:rsidR="00911EA9" w:rsidRPr="00E11D09" w:rsidRDefault="00911EA9" w:rsidP="00911EA9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:rsidR="00337685" w:rsidRPr="00E11D09" w:rsidRDefault="00337685" w:rsidP="00911EA9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E11D09">
        <w:rPr>
          <w:rFonts w:ascii="Arial" w:hAnsi="Arial" w:cs="Arial"/>
          <w:sz w:val="20"/>
          <w:szCs w:val="20"/>
        </w:rPr>
        <w:t>Oś</w:t>
      </w:r>
      <w:r w:rsidR="007D22F6" w:rsidRPr="00E11D09">
        <w:rPr>
          <w:rFonts w:ascii="Arial" w:hAnsi="Arial" w:cs="Arial"/>
          <w:sz w:val="20"/>
          <w:szCs w:val="20"/>
        </w:rPr>
        <w:t>wiadczamy, że oferowane urządzenia</w:t>
      </w:r>
      <w:r w:rsidRPr="00E11D09">
        <w:rPr>
          <w:rFonts w:ascii="Arial" w:hAnsi="Arial" w:cs="Arial"/>
          <w:sz w:val="20"/>
          <w:szCs w:val="20"/>
        </w:rPr>
        <w:t xml:space="preserve"> są kompletne i po zainstalowaniu będą gotowe do pracy zgodnie z przeznaczeniem bez żadnych dodatkowych zakupów inwestycyjnych. Oświadczamy, że urządzenia spełniają wszystkie wymagania określone przepisami obowiązującymi na terenie RP  zgodnie z przeznaczeniem urządzenia.</w:t>
      </w:r>
    </w:p>
    <w:sectPr w:rsidR="00337685" w:rsidRPr="00E11D09" w:rsidSect="008155E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5BE5" w:rsidRDefault="005B5BE5" w:rsidP="005B5BE5">
      <w:pPr>
        <w:spacing w:after="0" w:line="240" w:lineRule="auto"/>
      </w:pPr>
      <w:r>
        <w:separator/>
      </w:r>
    </w:p>
  </w:endnote>
  <w:endnote w:type="continuationSeparator" w:id="0">
    <w:p w:rsidR="005B5BE5" w:rsidRDefault="005B5BE5" w:rsidP="005B5B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052B" w:rsidRDefault="00C1052B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5BE5" w:rsidRPr="00BF02BA" w:rsidRDefault="004E2202" w:rsidP="005B5BE5">
    <w:pPr>
      <w:pStyle w:val="Normalny2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200" w:line="276" w:lineRule="auto"/>
      <w:jc w:val="right"/>
      <w:rPr>
        <w:color w:val="000000"/>
        <w:sz w:val="18"/>
        <w:szCs w:val="18"/>
      </w:rPr>
    </w:pPr>
    <w:r w:rsidRPr="00BF02BA">
      <w:rPr>
        <w:color w:val="000000"/>
        <w:sz w:val="18"/>
        <w:szCs w:val="18"/>
      </w:rPr>
      <w:fldChar w:fldCharType="begin"/>
    </w:r>
    <w:r w:rsidR="005B5BE5" w:rsidRPr="00BF02BA">
      <w:rPr>
        <w:color w:val="000000"/>
        <w:sz w:val="18"/>
        <w:szCs w:val="18"/>
      </w:rPr>
      <w:instrText>PAGE</w:instrText>
    </w:r>
    <w:r w:rsidRPr="00BF02BA">
      <w:rPr>
        <w:color w:val="000000"/>
        <w:sz w:val="18"/>
        <w:szCs w:val="18"/>
      </w:rPr>
      <w:fldChar w:fldCharType="separate"/>
    </w:r>
    <w:r w:rsidR="00C1052B">
      <w:rPr>
        <w:noProof/>
        <w:color w:val="000000"/>
        <w:sz w:val="18"/>
        <w:szCs w:val="18"/>
      </w:rPr>
      <w:t>2</w:t>
    </w:r>
    <w:r w:rsidRPr="00BF02BA">
      <w:rPr>
        <w:color w:val="000000"/>
        <w:sz w:val="18"/>
        <w:szCs w:val="18"/>
      </w:rPr>
      <w:fldChar w:fldCharType="end"/>
    </w:r>
  </w:p>
  <w:p w:rsidR="005B5BE5" w:rsidRPr="008165F8" w:rsidRDefault="005B5BE5" w:rsidP="005B5BE5">
    <w:pPr>
      <w:pStyle w:val="Stopka"/>
      <w:pBdr>
        <w:top w:val="single" w:sz="4" w:space="1" w:color="auto"/>
      </w:pBdr>
      <w:ind w:hanging="2"/>
      <w:jc w:val="center"/>
      <w:rPr>
        <w:rFonts w:ascii="Times New Roman" w:hAnsi="Times New Roman" w:cs="Times New Roman"/>
        <w:sz w:val="20"/>
        <w:szCs w:val="20"/>
        <w:lang w:eastAsia="pl-PL"/>
      </w:rPr>
    </w:pPr>
    <w:r w:rsidRPr="008165F8">
      <w:rPr>
        <w:rFonts w:ascii="Times New Roman" w:hAnsi="Times New Roman" w:cs="Times New Roman"/>
        <w:i/>
        <w:sz w:val="16"/>
        <w:szCs w:val="16"/>
      </w:rPr>
      <w:t>Specyfikacja Warunków Zamówienia</w:t>
    </w:r>
  </w:p>
  <w:p w:rsidR="005B5BE5" w:rsidRDefault="005B5BE5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052B" w:rsidRDefault="00C1052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5BE5" w:rsidRDefault="005B5BE5" w:rsidP="005B5BE5">
      <w:pPr>
        <w:spacing w:after="0" w:line="240" w:lineRule="auto"/>
      </w:pPr>
      <w:r>
        <w:separator/>
      </w:r>
    </w:p>
  </w:footnote>
  <w:footnote w:type="continuationSeparator" w:id="0">
    <w:p w:rsidR="005B5BE5" w:rsidRDefault="005B5BE5" w:rsidP="005B5B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052B" w:rsidRDefault="00C1052B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5BE5" w:rsidRPr="00EC7443" w:rsidRDefault="005B5BE5" w:rsidP="005B5BE5">
    <w:pPr>
      <w:pStyle w:val="Nagwek"/>
      <w:pBdr>
        <w:bottom w:val="single" w:sz="4" w:space="1" w:color="auto"/>
      </w:pBdr>
      <w:jc w:val="center"/>
      <w:rPr>
        <w:rFonts w:ascii="Times New Roman" w:hAnsi="Times New Roman" w:cs="Times New Roman"/>
        <w:sz w:val="15"/>
        <w:szCs w:val="15"/>
      </w:rPr>
    </w:pPr>
    <w:r w:rsidRPr="00EC7443">
      <w:rPr>
        <w:rFonts w:ascii="Times New Roman" w:hAnsi="Times New Roman" w:cs="Times New Roman"/>
        <w:i/>
        <w:iCs/>
        <w:sz w:val="15"/>
        <w:szCs w:val="15"/>
      </w:rPr>
      <w:t xml:space="preserve">Postępowanie nr </w:t>
    </w:r>
    <w:r w:rsidR="00E11D09">
      <w:rPr>
        <w:rFonts w:ascii="Times New Roman" w:hAnsi="Times New Roman" w:cs="Times New Roman"/>
        <w:i/>
        <w:iCs/>
        <w:sz w:val="15"/>
        <w:szCs w:val="15"/>
      </w:rPr>
      <w:t>DZP.240.24.2026</w:t>
    </w:r>
    <w:r w:rsidRPr="001F79C9">
      <w:rPr>
        <w:rFonts w:ascii="Times New Roman" w:hAnsi="Times New Roman" w:cs="Times New Roman"/>
        <w:i/>
        <w:iCs/>
        <w:sz w:val="15"/>
        <w:szCs w:val="15"/>
      </w:rPr>
      <w:t xml:space="preserve"> – Dostawy odczynników i części zużywalnych do oznaczeń morfologii krwi z dzierżawą analizatorów hematologicznych</w:t>
    </w:r>
  </w:p>
  <w:p w:rsidR="005B5BE5" w:rsidRDefault="005B5BE5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052B" w:rsidRDefault="00C1052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8541EA"/>
    <w:multiLevelType w:val="hybridMultilevel"/>
    <w:tmpl w:val="4FB8DE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removePersonalInformation/>
  <w:removeDateAndTim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E17FA"/>
    <w:rsid w:val="00007A21"/>
    <w:rsid w:val="000251E1"/>
    <w:rsid w:val="00037EED"/>
    <w:rsid w:val="000511A6"/>
    <w:rsid w:val="00062610"/>
    <w:rsid w:val="000B23B2"/>
    <w:rsid w:val="000B44A0"/>
    <w:rsid w:val="000D08F4"/>
    <w:rsid w:val="000D57E7"/>
    <w:rsid w:val="0011469F"/>
    <w:rsid w:val="00134BF1"/>
    <w:rsid w:val="00135E4C"/>
    <w:rsid w:val="00164FB3"/>
    <w:rsid w:val="001A4C16"/>
    <w:rsid w:val="001B0AD9"/>
    <w:rsid w:val="001D785A"/>
    <w:rsid w:val="001F6718"/>
    <w:rsid w:val="0021198C"/>
    <w:rsid w:val="0021488E"/>
    <w:rsid w:val="0025424D"/>
    <w:rsid w:val="00257ADA"/>
    <w:rsid w:val="00282E15"/>
    <w:rsid w:val="002A4224"/>
    <w:rsid w:val="002B5B87"/>
    <w:rsid w:val="002C108F"/>
    <w:rsid w:val="002E0E6E"/>
    <w:rsid w:val="003233C2"/>
    <w:rsid w:val="00337685"/>
    <w:rsid w:val="00340026"/>
    <w:rsid w:val="0035132B"/>
    <w:rsid w:val="003575BE"/>
    <w:rsid w:val="00374067"/>
    <w:rsid w:val="003762D3"/>
    <w:rsid w:val="0038225F"/>
    <w:rsid w:val="00391E3C"/>
    <w:rsid w:val="00395419"/>
    <w:rsid w:val="003A4E87"/>
    <w:rsid w:val="003E7183"/>
    <w:rsid w:val="003F1F34"/>
    <w:rsid w:val="0040707C"/>
    <w:rsid w:val="00435697"/>
    <w:rsid w:val="0045287E"/>
    <w:rsid w:val="004650FA"/>
    <w:rsid w:val="00467917"/>
    <w:rsid w:val="0047491C"/>
    <w:rsid w:val="00495E76"/>
    <w:rsid w:val="004A0319"/>
    <w:rsid w:val="004B53A5"/>
    <w:rsid w:val="004D188C"/>
    <w:rsid w:val="004E2202"/>
    <w:rsid w:val="004E41CA"/>
    <w:rsid w:val="004F4FFE"/>
    <w:rsid w:val="005048A4"/>
    <w:rsid w:val="00532D8C"/>
    <w:rsid w:val="00532ED6"/>
    <w:rsid w:val="0053429F"/>
    <w:rsid w:val="0054410D"/>
    <w:rsid w:val="0054469A"/>
    <w:rsid w:val="00575096"/>
    <w:rsid w:val="005B5BE5"/>
    <w:rsid w:val="005E0277"/>
    <w:rsid w:val="005E0D97"/>
    <w:rsid w:val="00603674"/>
    <w:rsid w:val="00604C00"/>
    <w:rsid w:val="00605E9E"/>
    <w:rsid w:val="0062379F"/>
    <w:rsid w:val="00625B46"/>
    <w:rsid w:val="0063233E"/>
    <w:rsid w:val="00657BCD"/>
    <w:rsid w:val="006B01F0"/>
    <w:rsid w:val="006B5318"/>
    <w:rsid w:val="006C7D8B"/>
    <w:rsid w:val="00715C74"/>
    <w:rsid w:val="007207D1"/>
    <w:rsid w:val="0073129A"/>
    <w:rsid w:val="007506E2"/>
    <w:rsid w:val="007538D7"/>
    <w:rsid w:val="00764B4A"/>
    <w:rsid w:val="007D22F6"/>
    <w:rsid w:val="008155E4"/>
    <w:rsid w:val="008243BF"/>
    <w:rsid w:val="008367F4"/>
    <w:rsid w:val="0084589E"/>
    <w:rsid w:val="00850A7F"/>
    <w:rsid w:val="00865F69"/>
    <w:rsid w:val="00876064"/>
    <w:rsid w:val="00911EA9"/>
    <w:rsid w:val="0091397B"/>
    <w:rsid w:val="00923769"/>
    <w:rsid w:val="0093173A"/>
    <w:rsid w:val="00936493"/>
    <w:rsid w:val="00957D2F"/>
    <w:rsid w:val="009754C0"/>
    <w:rsid w:val="009A4BF5"/>
    <w:rsid w:val="009B4301"/>
    <w:rsid w:val="009B6B9F"/>
    <w:rsid w:val="009C5F9E"/>
    <w:rsid w:val="009E0110"/>
    <w:rsid w:val="009E17FA"/>
    <w:rsid w:val="00A377E7"/>
    <w:rsid w:val="00A575E6"/>
    <w:rsid w:val="00A7729A"/>
    <w:rsid w:val="00A82748"/>
    <w:rsid w:val="00A857C8"/>
    <w:rsid w:val="00AC71EA"/>
    <w:rsid w:val="00AE6738"/>
    <w:rsid w:val="00B04AC1"/>
    <w:rsid w:val="00B05398"/>
    <w:rsid w:val="00B237DA"/>
    <w:rsid w:val="00B35D0B"/>
    <w:rsid w:val="00B546E1"/>
    <w:rsid w:val="00B73F1C"/>
    <w:rsid w:val="00B84D44"/>
    <w:rsid w:val="00BB6163"/>
    <w:rsid w:val="00C1052B"/>
    <w:rsid w:val="00C107C0"/>
    <w:rsid w:val="00C11E9A"/>
    <w:rsid w:val="00C153C6"/>
    <w:rsid w:val="00C24644"/>
    <w:rsid w:val="00C50161"/>
    <w:rsid w:val="00C63822"/>
    <w:rsid w:val="00C67EAC"/>
    <w:rsid w:val="00C84B2A"/>
    <w:rsid w:val="00C859F3"/>
    <w:rsid w:val="00CA4028"/>
    <w:rsid w:val="00CA5328"/>
    <w:rsid w:val="00CA5C9C"/>
    <w:rsid w:val="00CB3B51"/>
    <w:rsid w:val="00CE151A"/>
    <w:rsid w:val="00CF0681"/>
    <w:rsid w:val="00D125A6"/>
    <w:rsid w:val="00D17531"/>
    <w:rsid w:val="00D30FB7"/>
    <w:rsid w:val="00D543FF"/>
    <w:rsid w:val="00D94691"/>
    <w:rsid w:val="00DD0442"/>
    <w:rsid w:val="00DD272C"/>
    <w:rsid w:val="00DF4567"/>
    <w:rsid w:val="00E11D09"/>
    <w:rsid w:val="00E22E76"/>
    <w:rsid w:val="00E44F07"/>
    <w:rsid w:val="00E67C64"/>
    <w:rsid w:val="00E83C15"/>
    <w:rsid w:val="00E87A90"/>
    <w:rsid w:val="00E97EAF"/>
    <w:rsid w:val="00EA656E"/>
    <w:rsid w:val="00F063AA"/>
    <w:rsid w:val="00F34E00"/>
    <w:rsid w:val="00F70648"/>
    <w:rsid w:val="00F80531"/>
    <w:rsid w:val="00FA0660"/>
    <w:rsid w:val="00FB2914"/>
    <w:rsid w:val="00FB51B8"/>
    <w:rsid w:val="00FD6414"/>
    <w:rsid w:val="00FE42C6"/>
    <w:rsid w:val="00FE6C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155E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9E17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82E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82E15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A82748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257AD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57AD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57AD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57AD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57ADA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qFormat/>
    <w:rsid w:val="005B5B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5B5BE5"/>
  </w:style>
  <w:style w:type="paragraph" w:styleId="Stopka">
    <w:name w:val="footer"/>
    <w:basedOn w:val="Normalny"/>
    <w:link w:val="StopkaZnak"/>
    <w:uiPriority w:val="99"/>
    <w:unhideWhenUsed/>
    <w:qFormat/>
    <w:rsid w:val="005B5B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5B5BE5"/>
  </w:style>
  <w:style w:type="paragraph" w:customStyle="1" w:styleId="Normalny2">
    <w:name w:val="Normalny2"/>
    <w:rsid w:val="005B5BE5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1956</Words>
  <Characters>11742</Characters>
  <Application>Microsoft Office Word</Application>
  <DocSecurity>0</DocSecurity>
  <Lines>97</Lines>
  <Paragraphs>27</Paragraphs>
  <ScaleCrop>false</ScaleCrop>
  <Company/>
  <LinksUpToDate>false</LinksUpToDate>
  <CharactersWithSpaces>13671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2026-04-13T08:51:00Z</dcterms:created>
  <dcterms:modified xsi:type="dcterms:W3CDTF">2026-04-13T08:51:00Z</dcterms:modified>
</cp:coreProperties>
</file>